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60A0" w14:textId="23A9E8D6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Ley General de Control Interno (N° 8292):</w:t>
      </w:r>
    </w:p>
    <w:p w14:paraId="13495B8E" w14:textId="177A356D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Artículo 21.-</w:t>
      </w:r>
      <w:r w:rsidRPr="00A80B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Concepto funcional de auditoría interna</w:t>
      </w: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. La auditoría interna es la actividad independiente, objetiva y asesora, que proporciona seguridad al ente u órgano, puesto que se crea para validar y mejorar sus operaciones. Contribuye a que se alcancen los objetivos institucionales, mediante la práctica de un enfoque sistémico y profesional para evaluar y mejorar la efectividad de la administración del riesgo, del control y de los procesos de dirección en las entidades y los órganos sujetos a esta Ley. Dentro de una organización, la auditoría interna proporciona a la ciudadanía una garantía razonable de que la actuación del jerarca y la del resto, de la administración se ejecuta conforme al marco legal y técnico y a las prácticas sanas.</w:t>
      </w:r>
    </w:p>
    <w:p w14:paraId="34E0C8EE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Artículo 22.-</w:t>
      </w:r>
      <w:r w:rsidRPr="00A80B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R"/>
          <w14:ligatures w14:val="none"/>
        </w:rPr>
        <w:t>Competencias</w:t>
      </w: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. Compete a la auditoría interna, primordialmente lo siguiente:</w:t>
      </w:r>
    </w:p>
    <w:p w14:paraId="2E893572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a) Realizar auditorías o estudios especiales semestralmente, en relación con los fondos públicos sujetos a su competencia institucional, incluidos fideicomisos, fondos especiales y otros de naturaleza similar. Asimismo, efectuar semestralmente auditorías o estudios especiales sobre fondos y actividades privadas, de acuerdo con los artículos 5 y 6 de la Ley Orgánica de la Contraloría General de la República, en el tanto estos se originen en transferencias efectuadas por componentes de su competencia institucional.</w:t>
      </w:r>
    </w:p>
    <w:p w14:paraId="60D41640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b) Verificar el cumplimiento, la validez y la suficiencia del sistema de control interno de su competencia institucional, informar de ello y proponer las medidas correctivas que sean pertinentes.</w:t>
      </w:r>
    </w:p>
    <w:p w14:paraId="43668C29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c) Verificar que la administración activa tome las medidas de control interno señaladas en esta Ley, en los casos de desconcentración de competencias, o bien la contratación de servicios de apoyo con terceros; asimismo, examinar regularmente la operación efectiva de los controles críticos, en esas unidades desconcentradas o en la prestación de tales servicios.</w:t>
      </w:r>
    </w:p>
    <w:p w14:paraId="501BE4D9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d) Asesorar, en materia de su competencia, al jerarca del cual depende; además, advertir a los órganos pasivos que fiscaliza sobre las posibles consecuencias de determinadas conductas o decisiones, cuando sean de su conocimiento.</w:t>
      </w:r>
    </w:p>
    <w:p w14:paraId="59273E82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e) Autorizar, mediante razón de apertura, los libros de contabilidad y de actas que deban llevar los órganos sujetos a su competencia institucional y otros libros que, a criterio del auditor interno, sean necesarios para el fortalecimiento del sistema de control interno.</w:t>
      </w:r>
    </w:p>
    <w:p w14:paraId="5195EDB9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f) Preparar los planes de trabajo, por lo menos de conformidad con los lineamientos que establece la Contraloría General de la República.</w:t>
      </w:r>
    </w:p>
    <w:p w14:paraId="7FCDACA4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lastRenderedPageBreak/>
        <w:t>g) Elaborar un informe anual de la ejecución del plan de trabajo y del estado de las recomendaciones de la auditoría interna, de la Contraloría General de la República y de los despachos de contadores públicos; en los últimos dos casos, cuando sean de su conocimiento, sin perjuicio de que se elaboren informes y se presenten al jerarca cuando las circunstancias lo ameriten.</w:t>
      </w:r>
    </w:p>
    <w:p w14:paraId="10651900" w14:textId="77777777" w:rsidR="00A80BCC" w:rsidRP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h) Mantener debidamente actualizado el reglamento de organización y funcionamiento de la auditoría interna.</w:t>
      </w:r>
    </w:p>
    <w:p w14:paraId="117CCD93" w14:textId="77777777" w:rsidR="00A80BCC" w:rsidRDefault="00A80BCC" w:rsidP="00A80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</w:pPr>
      <w:r w:rsidRPr="00A80BCC">
        <w:rPr>
          <w:rFonts w:ascii="Arial" w:eastAsia="Times New Roman" w:hAnsi="Arial" w:cs="Arial"/>
          <w:color w:val="000000"/>
          <w:kern w:val="0"/>
          <w:sz w:val="24"/>
          <w:szCs w:val="24"/>
          <w:lang w:eastAsia="es-CR"/>
          <w14:ligatures w14:val="none"/>
        </w:rPr>
        <w:t>i) Las demás competencias que contemplen la normativa legal, reglamentaria y técnica aplicable, con las limitaciones que establece el artículo 34 de esta Ley.</w:t>
      </w:r>
    </w:p>
    <w:p w14:paraId="369E58E5" w14:textId="444052AE" w:rsidR="00A80BCC" w:rsidRPr="00A80BCC" w:rsidRDefault="00A80BCC" w:rsidP="00A80B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CR"/>
          <w14:ligatures w14:val="none"/>
        </w:rPr>
      </w:pPr>
      <w:r w:rsidRPr="00A80BCC">
        <w:rPr>
          <w:rFonts w:ascii="Arial" w:hAnsi="Arial" w:cs="Arial"/>
          <w:b/>
          <w:bCs/>
          <w:kern w:val="0"/>
          <w:sz w:val="24"/>
          <w:szCs w:val="24"/>
        </w:rPr>
        <w:t>LINEAMIENTOS GENERALES PARA EL ANÁLISIS DE PRESUNTOS HECHOS IRREGULARES</w:t>
      </w:r>
    </w:p>
    <w:p w14:paraId="2AC727F2" w14:textId="433840DF" w:rsidR="00F64E9D" w:rsidRPr="00F64E9D" w:rsidRDefault="00F64E9D" w:rsidP="00F64E9D">
      <w:pPr>
        <w:widowControl w:val="0"/>
        <w:autoSpaceDE w:val="0"/>
        <w:autoSpaceDN w:val="0"/>
        <w:adjustRightInd w:val="0"/>
        <w:spacing w:before="72" w:line="1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64E9D">
        <w:rPr>
          <w:rFonts w:ascii="Arial" w:hAnsi="Arial" w:cs="Arial"/>
          <w:color w:val="000000"/>
          <w:sz w:val="24"/>
          <w:szCs w:val="24"/>
        </w:rPr>
        <w:t>En la estructura del Estado costarricense, la potestad de investigar administrativamente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64E9D">
        <w:rPr>
          <w:rFonts w:ascii="Arial" w:hAnsi="Arial" w:cs="Arial"/>
          <w:color w:val="000000"/>
          <w:sz w:val="24"/>
          <w:szCs w:val="24"/>
        </w:rPr>
        <w:t>presuntos hechos irregulares en la función pública, está conferida a los jerarcas y titulares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64E9D">
        <w:rPr>
          <w:rFonts w:ascii="Arial" w:hAnsi="Arial" w:cs="Arial"/>
          <w:color w:val="000000"/>
          <w:sz w:val="24"/>
          <w:szCs w:val="24"/>
        </w:rPr>
        <w:t>subordinados, así como a la Contraloría General de la República y las auditorías internas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64E9D">
        <w:rPr>
          <w:rFonts w:ascii="Arial" w:hAnsi="Arial" w:cs="Arial"/>
          <w:color w:val="000000"/>
          <w:sz w:val="24"/>
          <w:szCs w:val="24"/>
        </w:rPr>
        <w:t>del sector público; cada uno de ellos con características y regulaciones propias.</w:t>
      </w:r>
    </w:p>
    <w:p w14:paraId="6A2EBA7C" w14:textId="0341ABBC" w:rsidR="00A80BCC" w:rsidRPr="00A80BCC" w:rsidRDefault="00F64E9D" w:rsidP="00F64E9D">
      <w:pPr>
        <w:widowControl w:val="0"/>
        <w:autoSpaceDE w:val="0"/>
        <w:autoSpaceDN w:val="0"/>
        <w:adjustRightInd w:val="0"/>
        <w:spacing w:before="72" w:line="1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64E9D">
        <w:rPr>
          <w:rFonts w:ascii="Arial" w:hAnsi="Arial" w:cs="Arial"/>
          <w:color w:val="000000"/>
          <w:sz w:val="24"/>
          <w:szCs w:val="24"/>
        </w:rPr>
        <w:t>Las investigaciones a cargo de las auditorías internas pueden realizarse de oficio, producto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64E9D">
        <w:rPr>
          <w:rFonts w:ascii="Arial" w:hAnsi="Arial" w:cs="Arial"/>
          <w:color w:val="000000"/>
          <w:sz w:val="24"/>
          <w:szCs w:val="24"/>
        </w:rPr>
        <w:t>de una auditoría, en atención a la denuncia de un tercero, o como respuesta a una solicitud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64E9D">
        <w:rPr>
          <w:rFonts w:ascii="Arial" w:hAnsi="Arial" w:cs="Arial"/>
          <w:color w:val="000000"/>
          <w:sz w:val="24"/>
          <w:szCs w:val="24"/>
        </w:rPr>
        <w:t xml:space="preserve">del jerarca o de titulares subordinados, entre otros. </w:t>
      </w:r>
    </w:p>
    <w:p w14:paraId="67860863" w14:textId="035D71E8" w:rsidR="00A80BCC" w:rsidRPr="00A80BCC" w:rsidRDefault="00A80BCC" w:rsidP="00A80BCC">
      <w:pPr>
        <w:widowControl w:val="0"/>
        <w:autoSpaceDE w:val="0"/>
        <w:autoSpaceDN w:val="0"/>
        <w:adjustRightInd w:val="0"/>
        <w:spacing w:before="72" w:line="18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>DIRECTRICES GENERALES PARA EL ESTABLECIMIENTO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>Y FUNCIONAMIENTO DEL SISTEMA ESPECÍFICO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>DE VALORACIÓN DEL RIESGO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>INSTITUCIONAL (SEVRI)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>D-3-2005-CO-DFOE</w:t>
      </w: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40358A48" w14:textId="77777777" w:rsidR="00A80BCC" w:rsidRPr="00A80BCC" w:rsidRDefault="00A80BCC" w:rsidP="00A80BCC">
      <w:pPr>
        <w:widowControl w:val="0"/>
        <w:autoSpaceDE w:val="0"/>
        <w:autoSpaceDN w:val="0"/>
        <w:adjustRightInd w:val="0"/>
        <w:spacing w:before="72" w:line="1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80BCC">
        <w:rPr>
          <w:rFonts w:ascii="Arial" w:hAnsi="Arial" w:cs="Arial"/>
          <w:b/>
          <w:bCs/>
          <w:color w:val="000000"/>
          <w:sz w:val="24"/>
          <w:szCs w:val="24"/>
        </w:rPr>
        <w:t>Documentación de riesgos.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Se deberá documentar la información sobre los riesgos y las medidas para la administración de riesgos que se genere en cada actividad de la valoración del riesgo (identificación, análisis, evaluación, administración y revisión).</w:t>
      </w:r>
    </w:p>
    <w:p w14:paraId="6106CF49" w14:textId="77777777" w:rsidR="00A80BCC" w:rsidRPr="00A80BCC" w:rsidRDefault="00A80BCC" w:rsidP="00A80BCC">
      <w:pPr>
        <w:widowControl w:val="0"/>
        <w:autoSpaceDE w:val="0"/>
        <w:autoSpaceDN w:val="0"/>
        <w:adjustRightInd w:val="0"/>
        <w:spacing w:line="1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80BCC">
        <w:rPr>
          <w:rFonts w:ascii="Arial" w:hAnsi="Arial" w:cs="Arial"/>
          <w:color w:val="000000"/>
          <w:sz w:val="24"/>
          <w:szCs w:val="24"/>
        </w:rPr>
        <w:t>Deberá de establecerse registros de riesgos que incluyan, como mínimo, la información sobre su probabilidad, consecuencia, nivel de riesgo asociado y medidas seleccionadas para su administración.</w:t>
      </w:r>
    </w:p>
    <w:p w14:paraId="5D4B0945" w14:textId="77777777" w:rsidR="00A80BCC" w:rsidRPr="00A80BCC" w:rsidRDefault="00A80BCC" w:rsidP="00A80BCC">
      <w:pPr>
        <w:widowControl w:val="0"/>
        <w:autoSpaceDE w:val="0"/>
        <w:autoSpaceDN w:val="0"/>
        <w:adjustRightInd w:val="0"/>
        <w:spacing w:line="1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80BCC">
        <w:rPr>
          <w:rFonts w:ascii="Arial" w:hAnsi="Arial" w:cs="Arial"/>
          <w:color w:val="000000"/>
          <w:sz w:val="24"/>
          <w:szCs w:val="24"/>
        </w:rPr>
        <w:t>En relación con las medidas para la administración de riesgos deberá documentarse como mínimo su descripción, sus resultados esperados en tiempo y espacio, los recursos necesarios y responsables para llevarlas a cabo.</w:t>
      </w:r>
    </w:p>
    <w:p w14:paraId="22AF8F88" w14:textId="77777777" w:rsidR="00A80BCC" w:rsidRPr="00A80BCC" w:rsidRDefault="00A80BCC" w:rsidP="00A80BCC">
      <w:pPr>
        <w:widowControl w:val="0"/>
        <w:autoSpaceDE w:val="0"/>
        <w:autoSpaceDN w:val="0"/>
        <w:adjustRightInd w:val="0"/>
        <w:spacing w:line="1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80BCC">
        <w:rPr>
          <w:rFonts w:ascii="Arial" w:hAnsi="Arial" w:cs="Arial"/>
          <w:color w:val="000000"/>
          <w:sz w:val="24"/>
          <w:szCs w:val="24"/>
        </w:rPr>
        <w:t>Se deberá velar por que los registros sean accesibles, comprensibles y completos y que la documentación se realice de forma continua, oportuna y confiable.</w:t>
      </w:r>
    </w:p>
    <w:p w14:paraId="7EA901EA" w14:textId="44222AB9" w:rsidR="00734BCE" w:rsidRPr="00A80BCC" w:rsidRDefault="00A80BCC" w:rsidP="00A80B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80BCC">
        <w:rPr>
          <w:rFonts w:ascii="Arial" w:hAnsi="Arial" w:cs="Arial"/>
          <w:color w:val="000000"/>
          <w:sz w:val="24"/>
          <w:szCs w:val="24"/>
        </w:rPr>
        <w:t xml:space="preserve">Toda esta información deberá servir de base para la elaboración de los reportes del SEVRI dirigidos a los sujetos interesados y podrá ser requerida por </w:t>
      </w:r>
      <w:smartTag w:uri="urn:schemas-microsoft-com:office:smarttags" w:element="PersonName">
        <w:smartTagPr>
          <w:attr w:name="ProductID" w:val="la Contralor￭a General"/>
        </w:smartTagPr>
        <w:r w:rsidRPr="00A80BCC">
          <w:rPr>
            <w:rFonts w:ascii="Arial" w:hAnsi="Arial" w:cs="Arial"/>
            <w:color w:val="000000"/>
            <w:sz w:val="24"/>
            <w:szCs w:val="24"/>
          </w:rPr>
          <w:t>la Contraloría General</w:t>
        </w:r>
      </w:smartTag>
      <w:r w:rsidRPr="00A80BCC">
        <w:rPr>
          <w:rFonts w:ascii="Arial" w:hAnsi="Arial" w:cs="Arial"/>
          <w:color w:val="000000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A80BCC">
          <w:rPr>
            <w:rFonts w:ascii="Arial" w:hAnsi="Arial" w:cs="Arial"/>
            <w:color w:val="000000"/>
            <w:sz w:val="24"/>
            <w:szCs w:val="24"/>
          </w:rPr>
          <w:t>la República</w:t>
        </w:r>
      </w:smartTag>
      <w:r w:rsidRPr="00A80BCC">
        <w:rPr>
          <w:rFonts w:ascii="Arial" w:hAnsi="Arial" w:cs="Arial"/>
          <w:color w:val="000000"/>
          <w:sz w:val="24"/>
          <w:szCs w:val="24"/>
        </w:rPr>
        <w:t xml:space="preserve"> o la auditoría interna, por lo que deberá de estar actualizada en todo momento</w:t>
      </w:r>
    </w:p>
    <w:p w14:paraId="02E4EEEC" w14:textId="7BB67B12" w:rsidR="00A80BCC" w:rsidRDefault="00A80BCC" w:rsidP="00A80B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A80BCC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NORMAS TÉCNICAS PARA EL GOBIERNO Y GESTIÓN DE LAS TECNOLOGÍAS DE LA</w:t>
      </w:r>
      <w:r w:rsidRPr="00A80BCC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A80BCC">
        <w:rPr>
          <w:rFonts w:ascii="Calibri" w:hAnsi="Calibri" w:cs="Calibri"/>
          <w:b/>
          <w:bCs/>
          <w:kern w:val="0"/>
          <w:sz w:val="28"/>
          <w:szCs w:val="28"/>
        </w:rPr>
        <w:t>INFORMACIÓN</w:t>
      </w:r>
    </w:p>
    <w:p w14:paraId="624D9F90" w14:textId="77777777" w:rsidR="00A80BCC" w:rsidRPr="00A80BCC" w:rsidRDefault="00A80BCC" w:rsidP="00A80B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1E93004" w14:textId="30608BEE" w:rsidR="00A80BCC" w:rsidRPr="00A80BCC" w:rsidRDefault="00A80BCC" w:rsidP="00A80BCC">
      <w:pPr>
        <w:widowControl w:val="0"/>
        <w:autoSpaceDE w:val="0"/>
        <w:autoSpaceDN w:val="0"/>
        <w:adjustRightInd w:val="0"/>
        <w:spacing w:line="1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80BCC">
        <w:rPr>
          <w:rFonts w:ascii="Arial" w:hAnsi="Arial" w:cs="Arial"/>
          <w:color w:val="000000"/>
          <w:sz w:val="24"/>
          <w:szCs w:val="24"/>
        </w:rPr>
        <w:t xml:space="preserve">Los jerarcas, titulares subordinados y </w:t>
      </w:r>
      <w:r w:rsidRPr="00A80BCC">
        <w:rPr>
          <w:rFonts w:ascii="Arial" w:hAnsi="Arial" w:cs="Arial"/>
          <w:color w:val="000000"/>
          <w:sz w:val="24"/>
          <w:szCs w:val="24"/>
        </w:rPr>
        <w:t>auditoría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interna, en </w:t>
      </w:r>
      <w:r w:rsidRPr="00A80BCC">
        <w:rPr>
          <w:rFonts w:ascii="Arial" w:hAnsi="Arial" w:cs="Arial"/>
          <w:color w:val="000000"/>
          <w:sz w:val="24"/>
          <w:szCs w:val="24"/>
        </w:rPr>
        <w:t>razón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de que dicha normativa establece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criterios de control que deben ser observados como parte de la </w:t>
      </w:r>
      <w:r w:rsidRPr="00A80BCC">
        <w:rPr>
          <w:rFonts w:ascii="Arial" w:hAnsi="Arial" w:cs="Arial"/>
          <w:color w:val="000000"/>
          <w:sz w:val="24"/>
          <w:szCs w:val="24"/>
        </w:rPr>
        <w:t>gestión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institucional de las TI, </w:t>
      </w:r>
      <w:r w:rsidRPr="00A80BCC">
        <w:rPr>
          <w:rFonts w:ascii="Arial" w:hAnsi="Arial" w:cs="Arial"/>
          <w:color w:val="000000"/>
          <w:sz w:val="24"/>
          <w:szCs w:val="24"/>
        </w:rPr>
        <w:t>serán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los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responsables de esta </w:t>
      </w:r>
      <w:r w:rsidRPr="00A80BCC">
        <w:rPr>
          <w:rFonts w:ascii="Arial" w:hAnsi="Arial" w:cs="Arial"/>
          <w:color w:val="000000"/>
          <w:sz w:val="24"/>
          <w:szCs w:val="24"/>
        </w:rPr>
        <w:t>gestión</w:t>
      </w:r>
      <w:r w:rsidRPr="00A80BCC">
        <w:rPr>
          <w:rFonts w:ascii="Arial" w:hAnsi="Arial" w:cs="Arial"/>
          <w:color w:val="000000"/>
          <w:sz w:val="24"/>
          <w:szCs w:val="24"/>
        </w:rPr>
        <w:t>. Deben establecer, mantener, evaluar y perfeccionar ese marco de gobierno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y </w:t>
      </w:r>
      <w:r w:rsidRPr="00A80BCC">
        <w:rPr>
          <w:rFonts w:ascii="Arial" w:hAnsi="Arial" w:cs="Arial"/>
          <w:color w:val="000000"/>
          <w:sz w:val="24"/>
          <w:szCs w:val="24"/>
        </w:rPr>
        <w:t>gestión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de las </w:t>
      </w:r>
      <w:r w:rsidRPr="00A80BCC">
        <w:rPr>
          <w:rFonts w:ascii="Arial" w:hAnsi="Arial" w:cs="Arial"/>
          <w:color w:val="000000"/>
          <w:sz w:val="24"/>
          <w:szCs w:val="24"/>
        </w:rPr>
        <w:t>tecnologías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A80BCC">
        <w:rPr>
          <w:rFonts w:ascii="Arial" w:hAnsi="Arial" w:cs="Arial"/>
          <w:color w:val="000000"/>
          <w:sz w:val="24"/>
          <w:szCs w:val="24"/>
        </w:rPr>
        <w:t>información</w:t>
      </w:r>
      <w:r w:rsidRPr="00A80BCC">
        <w:rPr>
          <w:rFonts w:ascii="Arial" w:hAnsi="Arial" w:cs="Arial"/>
          <w:color w:val="000000"/>
          <w:sz w:val="24"/>
          <w:szCs w:val="24"/>
        </w:rPr>
        <w:t>, de conformidad con lo establecido en la Ley General de</w:t>
      </w:r>
      <w:r w:rsidRPr="00A80B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0BCC">
        <w:rPr>
          <w:rFonts w:ascii="Arial" w:hAnsi="Arial" w:cs="Arial"/>
          <w:color w:val="000000"/>
          <w:sz w:val="24"/>
          <w:szCs w:val="24"/>
        </w:rPr>
        <w:t>Control Interno.</w:t>
      </w:r>
    </w:p>
    <w:sectPr w:rsidR="00A80BCC" w:rsidRPr="00A80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CC"/>
    <w:rsid w:val="00080DF5"/>
    <w:rsid w:val="001A77A6"/>
    <w:rsid w:val="00317E78"/>
    <w:rsid w:val="00340F4C"/>
    <w:rsid w:val="00734BCE"/>
    <w:rsid w:val="008B0376"/>
    <w:rsid w:val="00A80BCC"/>
    <w:rsid w:val="00A9236E"/>
    <w:rsid w:val="00BC1F30"/>
    <w:rsid w:val="00ED56B0"/>
    <w:rsid w:val="00F123F8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3C53348"/>
  <w15:chartTrackingRefBased/>
  <w15:docId w15:val="{9EAF5A79-C22D-4C08-9CAA-E09AFB6A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A80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F7CA5464DB2E45A784F1F7D11C75C7" ma:contentTypeVersion="1" ma:contentTypeDescription="Crear nuevo documento." ma:contentTypeScope="" ma:versionID="334c5c2d30d1fbcf7754b2ad72c1a2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7c1b953ae263f1ed61aa1c4e83e67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C3AC9-5FD2-44E6-94AF-BD32C136EBCB}"/>
</file>

<file path=customXml/itemProps2.xml><?xml version="1.0" encoding="utf-8"?>
<ds:datastoreItem xmlns:ds="http://schemas.openxmlformats.org/officeDocument/2006/customXml" ds:itemID="{3F58BFC6-E117-4122-8888-BCDCA068BF44}"/>
</file>

<file path=customXml/itemProps3.xml><?xml version="1.0" encoding="utf-8"?>
<ds:datastoreItem xmlns:ds="http://schemas.openxmlformats.org/officeDocument/2006/customXml" ds:itemID="{81BF562A-AEB7-475F-8ABB-72643549A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Espinoza Vindas</dc:creator>
  <cp:keywords/>
  <dc:description/>
  <cp:lastModifiedBy>Karen Espinoza Vindas</cp:lastModifiedBy>
  <cp:revision>2</cp:revision>
  <dcterms:created xsi:type="dcterms:W3CDTF">2023-06-16T12:48:00Z</dcterms:created>
  <dcterms:modified xsi:type="dcterms:W3CDTF">2023-06-16T12:48:00Z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0x010100F0F7CA5464DB2E45A784F1F7D11C75C7</vt:lpwstr>
  </property>
</Properties>
</file>